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6" w:rsidRPr="00C340E1" w:rsidRDefault="00826146" w:rsidP="00826146">
      <w:pPr>
        <w:pStyle w:val="ab"/>
        <w:rPr>
          <w:rFonts w:ascii="PragmaticaCTT" w:hAnsi="PragmaticaCTT"/>
          <w:sz w:val="18"/>
          <w:szCs w:val="18"/>
        </w:rPr>
      </w:pPr>
      <w:r w:rsidRPr="00C340E1">
        <w:rPr>
          <w:rFonts w:ascii="PragmaticaCTT" w:hAnsi="PragmaticaCTT"/>
          <w:sz w:val="18"/>
          <w:szCs w:val="18"/>
        </w:rPr>
        <w:t>Сообщение о существенном факте</w:t>
      </w:r>
    </w:p>
    <w:p w:rsidR="00C462BF" w:rsidRPr="00826146" w:rsidRDefault="00826146" w:rsidP="00826146">
      <w:pPr>
        <w:pStyle w:val="ab"/>
        <w:rPr>
          <w:rFonts w:ascii="PragmaticaCTT" w:hAnsi="PragmaticaCTT"/>
          <w:sz w:val="18"/>
          <w:szCs w:val="18"/>
        </w:rPr>
      </w:pPr>
      <w:r w:rsidRPr="000467BA">
        <w:rPr>
          <w:rFonts w:ascii="PragmaticaCTT" w:hAnsi="PragmaticaCTT"/>
          <w:sz w:val="18"/>
          <w:szCs w:val="18"/>
        </w:rPr>
        <w:t>«</w:t>
      </w:r>
      <w:r>
        <w:rPr>
          <w:rFonts w:ascii="PragmaticaCTT" w:hAnsi="PragmaticaCTT"/>
          <w:sz w:val="18"/>
          <w:szCs w:val="18"/>
        </w:rPr>
        <w:t>О</w:t>
      </w:r>
      <w:r w:rsidRPr="000467BA">
        <w:rPr>
          <w:rFonts w:ascii="PragmaticaCTT" w:hAnsi="PragmaticaCTT"/>
          <w:sz w:val="18"/>
          <w:szCs w:val="18"/>
        </w:rPr>
        <w:t xml:space="preserve"> начисленных и/или выплаченных доходах по эмиссионным ценным бумагам эмитента»</w:t>
      </w:r>
    </w:p>
    <w:p w:rsidR="00B83D74" w:rsidRPr="0059563D" w:rsidRDefault="00B83D74" w:rsidP="00A25DAD">
      <w:pPr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E3C24" w:rsidRPr="0030087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300876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300876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66" w:rsidRDefault="00CF256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8156AC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http://www.e-disclosure.ru</w:t>
            </w:r>
          </w:p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EE3C24" w:rsidRPr="00300876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CE64D4" w:rsidRPr="003008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00876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1B3C77" w:rsidRPr="003008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5DAD" w:rsidRPr="00F21BAB" w:rsidRDefault="00826146" w:rsidP="00A25DAD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C96A0C">
              <w:rPr>
                <w:rFonts w:ascii="PragmaticaCTT" w:hAnsi="PragmaticaCTT"/>
                <w:sz w:val="18"/>
                <w:szCs w:val="18"/>
              </w:rPr>
              <w:t>2.1. Вид, категория (тип), серия и иные идентификационные признаки эмиссионных ценных бумаг эмитента, по которым начислены доходы:</w:t>
            </w:r>
            <w:r w:rsidR="00A25DAD" w:rsidRPr="0056464F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59563D">
              <w:rPr>
                <w:rFonts w:ascii="PragmaticaCTT" w:hAnsi="PragmaticaCTT"/>
                <w:b/>
                <w:sz w:val="18"/>
                <w:szCs w:val="18"/>
              </w:rPr>
              <w:t xml:space="preserve">с ипотечным покрытием </w:t>
            </w:r>
            <w:r w:rsidR="00A25DAD" w:rsidRPr="00300876">
              <w:rPr>
                <w:rFonts w:ascii="PragmaticaCTT" w:hAnsi="PragmaticaCTT"/>
                <w:b/>
                <w:sz w:val="18"/>
                <w:szCs w:val="18"/>
              </w:rPr>
              <w:t>процентные документарные неконвертируемые об</w:t>
            </w:r>
            <w:r>
              <w:rPr>
                <w:rFonts w:ascii="PragmaticaCTT" w:hAnsi="PragmaticaCTT"/>
                <w:b/>
                <w:sz w:val="18"/>
                <w:szCs w:val="18"/>
              </w:rPr>
              <w:t>лигации на предъявителя серии 0</w:t>
            </w:r>
            <w:r w:rsidRPr="00826146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-ИП, </w:t>
            </w:r>
            <w:r w:rsidR="00A25DAD" w:rsidRPr="00300876">
              <w:rPr>
                <w:rFonts w:ascii="PragmaticaCTT" w:hAnsi="PragmaticaCTT"/>
                <w:b/>
                <w:sz w:val="18"/>
                <w:szCs w:val="18"/>
              </w:rPr>
              <w:t>с обязательным централизованным хранением, с возможностью досрочного погашения</w:t>
            </w:r>
            <w:r w:rsidR="005D2FCC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59563D">
              <w:rPr>
                <w:rFonts w:ascii="PragmaticaCTT" w:hAnsi="PragmaticaCTT"/>
                <w:b/>
                <w:sz w:val="18"/>
                <w:szCs w:val="18"/>
              </w:rPr>
              <w:t xml:space="preserve">по требованию владельцев </w:t>
            </w:r>
            <w:r w:rsidR="005D2FCC" w:rsidRPr="00E91882">
              <w:rPr>
                <w:rFonts w:ascii="PragmaticaCTT" w:hAnsi="PragmaticaCTT"/>
                <w:b/>
                <w:sz w:val="18"/>
                <w:szCs w:val="18"/>
              </w:rPr>
              <w:t>(далее именуемые – «Облигации»).</w:t>
            </w:r>
            <w:r w:rsidR="00A25DAD"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</w:p>
          <w:p w:rsidR="00A25DAD" w:rsidRPr="009A0277" w:rsidRDefault="00A25DAD" w:rsidP="00A25DAD">
            <w:pPr>
              <w:ind w:right="57"/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56464F">
              <w:rPr>
                <w:rFonts w:ascii="PragmaticaCTT" w:hAnsi="PragmaticaCTT"/>
                <w:sz w:val="18"/>
                <w:szCs w:val="18"/>
              </w:rPr>
              <w:t xml:space="preserve">2.2. </w:t>
            </w:r>
            <w:r w:rsidR="009A0277" w:rsidRPr="00C96A0C">
              <w:rPr>
                <w:rFonts w:ascii="PragmaticaCTT" w:hAnsi="PragmaticaCTT"/>
                <w:sz w:val="18"/>
                <w:szCs w:val="18"/>
              </w:rPr>
      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9A0277" w:rsidRPr="00C96A0C">
              <w:rPr>
                <w:rFonts w:ascii="PragmaticaCTT" w:hAnsi="PragmaticaCTT"/>
                <w:sz w:val="18"/>
                <w:szCs w:val="18"/>
              </w:rPr>
              <w:t>присвоения</w:t>
            </w:r>
            <w:proofErr w:type="gramEnd"/>
            <w:r w:rsidR="009A0277" w:rsidRPr="00C96A0C">
              <w:rPr>
                <w:rFonts w:ascii="PragmaticaCTT" w:hAnsi="PragmaticaCTT"/>
                <w:sz w:val="18"/>
                <w:szCs w:val="18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9A0277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5D2FCC" w:rsidRPr="009A0277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Государственный регистрационный номер выпуска</w:t>
            </w:r>
            <w:r w:rsidR="005D2FCC" w:rsidRPr="00E91882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 xml:space="preserve"> </w:t>
            </w:r>
            <w:r w:rsidR="0082614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40903338В от 18 мая 2012</w:t>
            </w:r>
            <w:r w:rsidRPr="003008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5D2FCC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2.3</w:t>
            </w:r>
            <w:r w:rsidR="00A25DAD" w:rsidRPr="0056464F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</w:p>
          <w:p w:rsidR="0059563D" w:rsidRDefault="0059563D" w:rsidP="0059563D">
            <w:pPr>
              <w:tabs>
                <w:tab w:val="left" w:pos="540"/>
              </w:tabs>
              <w:ind w:right="125"/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Решение об установлении процентных </w:t>
            </w:r>
            <w:r w:rsidRPr="004459C5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ставок по второму, третьему,  четвертому, пятому и шестому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купонным периодам О</w:t>
            </w:r>
            <w:r w:rsidRPr="0059563D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блигаций равными процентной ставке по перв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ому купонному периоду О</w:t>
            </w:r>
            <w:r w:rsidRPr="0059563D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блигаций 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принято </w:t>
            </w:r>
            <w:r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единоличным исполнительным органом Эмитента – Председателем Правления ЗАО «КБ ДельтаКредит» Озеров</w:t>
            </w:r>
            <w:r w:rsidR="00B732E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ым</w:t>
            </w:r>
            <w:r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С.</w:t>
            </w:r>
            <w:r w:rsidRPr="0059563D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«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29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» 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ноября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2012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г. (</w:t>
            </w:r>
            <w:r w:rsidR="00B732E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Приказ </w:t>
            </w:r>
            <w:r w:rsidRPr="0059563D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№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77-П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от  «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29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» 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ноября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2012</w:t>
            </w:r>
            <w:r w:rsidRPr="0059563D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г</w:t>
            </w:r>
            <w:r w:rsidR="00B732E4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.).</w:t>
            </w:r>
            <w:r w:rsidRPr="0059563D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</w:t>
            </w:r>
          </w:p>
          <w:p w:rsidR="00826146" w:rsidRPr="00C96A0C" w:rsidRDefault="00826146" w:rsidP="00826146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Эмитент бу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дет обязан приобрести О</w:t>
            </w: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блигации по требованию их владельцев, предъявивших в течение последних 5 (Пяти) 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рабочих </w:t>
            </w: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дней </w:t>
            </w:r>
            <w:r w:rsidR="004459C5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6</w:t>
            </w: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-ого купонного периода уведомлени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я о намерении продать О</w:t>
            </w: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блигации в порядке и н</w:t>
            </w:r>
            <w:r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а условиях, установленных п.10.5.2.2.</w:t>
            </w:r>
            <w:r w:rsidRPr="00C96A0C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Решения о выпуске ценных бумаг и п.9.1.2 Проспекта ценных бумаг.</w:t>
            </w:r>
          </w:p>
          <w:p w:rsidR="005D2FCC" w:rsidRPr="00E91882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2.4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 xml:space="preserve">. 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</w:t>
            </w:r>
            <w:r w:rsidR="005D2FCC" w:rsidRPr="00E91882">
              <w:rPr>
                <w:rFonts w:ascii="PragmaticaCTT" w:hAnsi="PragmaticaCTT"/>
                <w:b/>
                <w:sz w:val="18"/>
                <w:szCs w:val="18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5D2FCC">
              <w:rPr>
                <w:rFonts w:ascii="PragmaticaCTT" w:hAnsi="PragmaticaCTT"/>
                <w:b/>
                <w:sz w:val="18"/>
                <w:szCs w:val="18"/>
              </w:rPr>
              <w:t>О</w:t>
            </w:r>
            <w:r w:rsidR="005D2FCC" w:rsidRPr="00E91882">
              <w:rPr>
                <w:rFonts w:ascii="PragmaticaCTT" w:hAnsi="PragmaticaCTT"/>
                <w:b/>
                <w:sz w:val="18"/>
                <w:szCs w:val="18"/>
              </w:rPr>
              <w:t xml:space="preserve">блигациям эмитента </w:t>
            </w:r>
            <w:r w:rsidR="004459C5">
              <w:rPr>
                <w:rFonts w:ascii="PragmaticaCTT" w:hAnsi="PragmaticaCTT"/>
                <w:b/>
                <w:sz w:val="18"/>
                <w:szCs w:val="18"/>
              </w:rPr>
              <w:t>–</w:t>
            </w:r>
            <w:r w:rsidR="005D2FCC" w:rsidRPr="00E91882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29 ноября </w:t>
            </w:r>
            <w:r w:rsidR="005D2FCC" w:rsidRPr="00E91882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20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12</w:t>
            </w:r>
            <w:r w:rsidR="005D2FCC" w:rsidRPr="00E91882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г.</w:t>
            </w:r>
          </w:p>
          <w:p w:rsidR="00826146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2.5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>. </w:t>
            </w:r>
            <w:r w:rsidR="00826146" w:rsidRPr="00C96A0C">
              <w:rPr>
                <w:rFonts w:ascii="PragmaticaCTT" w:hAnsi="PragmaticaCTT"/>
                <w:sz w:val="18"/>
                <w:szCs w:val="18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эмитента: </w:t>
            </w:r>
            <w:r w:rsidR="00826146" w:rsidRPr="00C96A0C">
              <w:rPr>
                <w:rFonts w:ascii="PragmaticaCTT" w:hAnsi="PragmaticaCTT"/>
                <w:b/>
                <w:sz w:val="18"/>
                <w:szCs w:val="18"/>
              </w:rPr>
              <w:t xml:space="preserve">Дата составления </w:t>
            </w:r>
            <w:r w:rsidR="00826146" w:rsidRPr="00C96A0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Приказа Председателя Правления 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ЗАО «КБ ДельтаКредит</w:t>
            </w:r>
            <w:r w:rsidR="00826146" w:rsidRPr="00E91882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» 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№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77-П</w:t>
            </w:r>
            <w:r w:rsidR="00826146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, </w:t>
            </w:r>
            <w:r w:rsidR="00826146" w:rsidRPr="00C96A0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в котором принято </w:t>
            </w:r>
            <w:r w:rsidR="00826146" w:rsidRPr="00C96A0C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решение об определении размера (порядка определения размера)</w:t>
            </w:r>
            <w:r w:rsidR="00826146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процента (купона) по О</w:t>
            </w:r>
            <w:r w:rsidR="00826146" w:rsidRPr="00C96A0C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блигациям  - </w:t>
            </w:r>
            <w:r w:rsidR="00826146" w:rsidRPr="00C96A0C">
              <w:rPr>
                <w:rFonts w:ascii="PragmaticaCTT" w:hAnsi="PragmaticaCTT" w:cs="Times New Roman"/>
                <w:sz w:val="18"/>
                <w:szCs w:val="18"/>
              </w:rPr>
              <w:t xml:space="preserve"> </w:t>
            </w:r>
            <w:r w:rsidR="00826146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«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29</w:t>
            </w:r>
            <w:r w:rsidR="00826146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» 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ноября </w:t>
            </w:r>
            <w:r w:rsidR="00826146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2012 г.</w:t>
            </w:r>
          </w:p>
          <w:p w:rsidR="003C6C1A" w:rsidRPr="00826146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>
              <w:rPr>
                <w:rFonts w:ascii="PragmaticaCTT" w:hAnsi="PragmaticaCTT"/>
                <w:bCs/>
                <w:iCs/>
                <w:sz w:val="18"/>
                <w:szCs w:val="18"/>
              </w:rPr>
              <w:t>2.6</w:t>
            </w:r>
            <w:r w:rsidR="003C6C1A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. </w:t>
            </w:r>
            <w:r w:rsidR="00826146" w:rsidRPr="00C96A0C">
              <w:rPr>
                <w:rFonts w:ascii="PragmaticaCTT" w:hAnsi="PragmaticaCTT"/>
                <w:bCs/>
                <w:iCs/>
                <w:sz w:val="18"/>
                <w:szCs w:val="18"/>
              </w:rPr>
              <w:t>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</w:t>
            </w:r>
            <w:r w:rsidR="004459C5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r w:rsidR="001D742C" w:rsidRPr="001D742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182 </w:t>
            </w:r>
            <w:r w:rsidR="001D742C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дня</w:t>
            </w:r>
          </w:p>
          <w:p w:rsidR="00826146" w:rsidRPr="00C96A0C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2.7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 w:rsidR="00826146" w:rsidRPr="00C96A0C">
              <w:rPr>
                <w:rFonts w:ascii="PragmaticaCTT" w:hAnsi="PragmaticaCTT"/>
                <w:sz w:val="18"/>
                <w:szCs w:val="18"/>
              </w:rPr>
      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826146" w:rsidRPr="00C96A0C" w:rsidRDefault="00826146" w:rsidP="00826146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C96A0C">
              <w:rPr>
                <w:rFonts w:ascii="PragmaticaCTT" w:hAnsi="PragmaticaCTT"/>
                <w:b/>
                <w:sz w:val="18"/>
                <w:szCs w:val="18"/>
              </w:rPr>
      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определяется после принятия решения о величине процентной ставки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 по первому купону по О</w:t>
            </w:r>
            <w:r w:rsidRPr="00C96A0C">
              <w:rPr>
                <w:rFonts w:ascii="PragmaticaCTT" w:hAnsi="PragmaticaCTT"/>
                <w:b/>
                <w:sz w:val="18"/>
                <w:szCs w:val="18"/>
              </w:rPr>
              <w:t>блигациям.</w:t>
            </w:r>
          </w:p>
          <w:p w:rsidR="00826146" w:rsidRPr="00C96A0C" w:rsidRDefault="00826146" w:rsidP="00826146">
            <w:pPr>
              <w:tabs>
                <w:tab w:val="left" w:pos="540"/>
              </w:tabs>
              <w:ind w:right="125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C96A0C">
              <w:rPr>
                <w:rFonts w:ascii="PragmaticaCTT" w:hAnsi="PragmaticaCTT"/>
                <w:b/>
                <w:sz w:val="18"/>
                <w:szCs w:val="18"/>
              </w:rPr>
              <w:lastRenderedPageBreak/>
              <w:t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</w:t>
            </w:r>
            <w:r w:rsidRPr="00C96A0C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определяется после принятия решения о величине процентной ставки</w:t>
            </w:r>
            <w:r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по первому купону по О</w:t>
            </w:r>
            <w:r w:rsidRPr="00C96A0C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блигациям.</w:t>
            </w:r>
          </w:p>
          <w:p w:rsidR="005D2FCC" w:rsidRPr="00E91882" w:rsidRDefault="009A0277" w:rsidP="005D2FCC">
            <w:pPr>
              <w:ind w:right="125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2.8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 xml:space="preserve">. Форма выплаты доходов по </w:t>
            </w:r>
            <w:r w:rsidR="00C82324">
              <w:rPr>
                <w:rFonts w:ascii="PragmaticaCTT" w:hAnsi="PragmaticaCTT"/>
                <w:sz w:val="18"/>
                <w:szCs w:val="18"/>
              </w:rPr>
              <w:t xml:space="preserve">эмиссионным </w:t>
            </w:r>
            <w:r w:rsidR="005D2FCC" w:rsidRPr="00E91882">
              <w:rPr>
                <w:rFonts w:ascii="PragmaticaCTT" w:hAnsi="PragmaticaCTT"/>
                <w:sz w:val="18"/>
                <w:szCs w:val="18"/>
              </w:rPr>
              <w:t xml:space="preserve">ценным бумагам эмитента (денежные средства, иное имущество):  </w:t>
            </w:r>
            <w:r w:rsidR="005D2FCC" w:rsidRPr="00E91882">
              <w:rPr>
                <w:rFonts w:ascii="PragmaticaCTT" w:hAnsi="PragmaticaCTT"/>
                <w:b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5D2FCC" w:rsidRPr="00E91882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sz w:val="18"/>
                <w:szCs w:val="18"/>
              </w:rPr>
            </w:pPr>
            <w:r>
              <w:rPr>
                <w:rFonts w:ascii="PragmaticaCTT" w:hAnsi="PragmaticaCTT" w:cs="Times New Roman"/>
                <w:sz w:val="18"/>
                <w:szCs w:val="18"/>
              </w:rPr>
              <w:t>2.9</w:t>
            </w:r>
            <w:r w:rsidR="005D2FCC" w:rsidRPr="00E91882">
              <w:rPr>
                <w:rFonts w:ascii="PragmaticaCTT" w:hAnsi="PragmaticaCTT" w:cs="Times New Roman"/>
                <w:sz w:val="18"/>
                <w:szCs w:val="18"/>
              </w:rPr>
              <w:t xml:space="preserve">. Дата, в которую обязательство по выплате доходов по </w:t>
            </w:r>
            <w:r w:rsidR="00C82324">
              <w:rPr>
                <w:rFonts w:ascii="PragmaticaCTT" w:hAnsi="PragmaticaCTT" w:cs="Times New Roman"/>
                <w:sz w:val="18"/>
                <w:szCs w:val="18"/>
              </w:rPr>
              <w:t xml:space="preserve">эмиссионным </w:t>
            </w:r>
            <w:r w:rsidR="005D2FCC" w:rsidRPr="00E91882">
              <w:rPr>
                <w:rFonts w:ascii="PragmaticaCTT" w:hAnsi="PragmaticaCTT" w:cs="Times New Roman"/>
                <w:sz w:val="18"/>
                <w:szCs w:val="18"/>
              </w:rPr>
              <w:t xml:space="preserve">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</w:p>
          <w:p w:rsidR="005D2FCC" w:rsidRPr="004459C5" w:rsidRDefault="005D2FCC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1 купон 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–</w:t>
            </w:r>
            <w:r w:rsidR="0059563D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182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Облигаций;</w:t>
            </w:r>
          </w:p>
          <w:p w:rsidR="004459C5" w:rsidRPr="004459C5" w:rsidRDefault="005D2FCC" w:rsidP="004459C5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2 купон 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–</w:t>
            </w:r>
            <w:r w:rsidR="004459C5" w:rsidRP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 </w:t>
            </w:r>
            <w:r w:rsid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364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Облигаций;</w:t>
            </w:r>
          </w:p>
          <w:p w:rsidR="004459C5" w:rsidRPr="004459C5" w:rsidRDefault="005D2FCC" w:rsidP="004459C5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3 купон 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–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546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Облигаций;</w:t>
            </w:r>
          </w:p>
          <w:p w:rsidR="004459C5" w:rsidRPr="004459C5" w:rsidRDefault="005D2FCC" w:rsidP="004459C5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4459C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4 купон – 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728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Облигаций;</w:t>
            </w:r>
          </w:p>
          <w:p w:rsidR="004459C5" w:rsidRPr="004459C5" w:rsidRDefault="009E63A9" w:rsidP="004459C5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4459C5">
              <w:rPr>
                <w:rFonts w:ascii="PragmaticaCTT" w:eastAsia="SimSun" w:hAnsi="PragmaticaCTT"/>
                <w:b/>
                <w:sz w:val="18"/>
                <w:szCs w:val="18"/>
              </w:rPr>
              <w:t>5 купон –</w:t>
            </w:r>
            <w:r w:rsidR="004459C5">
              <w:rPr>
                <w:rFonts w:ascii="PragmaticaCTT" w:eastAsia="SimSun" w:hAnsi="PragmaticaCTT"/>
                <w:b/>
                <w:sz w:val="18"/>
                <w:szCs w:val="18"/>
              </w:rPr>
              <w:t xml:space="preserve"> 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910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Облигаций;</w:t>
            </w:r>
          </w:p>
          <w:p w:rsidR="009D3277" w:rsidRPr="009A0277" w:rsidRDefault="009E63A9" w:rsidP="004459C5">
            <w:pPr>
              <w:pStyle w:val="ConsNonformat"/>
              <w:tabs>
                <w:tab w:val="left" w:pos="540"/>
              </w:tabs>
              <w:ind w:right="125"/>
              <w:rPr>
                <w:rFonts w:ascii="PragmaticaCTT" w:hAnsi="PragmaticaCTT"/>
                <w:b/>
                <w:sz w:val="18"/>
                <w:szCs w:val="18"/>
              </w:rPr>
            </w:pPr>
            <w:r w:rsidRPr="004459C5">
              <w:rPr>
                <w:rFonts w:ascii="PragmaticaCTT" w:eastAsia="SimSun" w:hAnsi="PragmaticaCTT"/>
                <w:b/>
                <w:sz w:val="18"/>
                <w:szCs w:val="18"/>
              </w:rPr>
              <w:t xml:space="preserve">6 купон – 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1092</w:t>
            </w:r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день </w:t>
            </w:r>
            <w:proofErr w:type="gramStart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с даты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начала</w:t>
            </w:r>
            <w:proofErr w:type="gramEnd"/>
            <w:r w:rsidR="004459C5" w:rsidRP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размещения</w:t>
            </w:r>
            <w:r w:rsidR="004459C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 xml:space="preserve"> Облигаций.</w:t>
            </w: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00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300876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8A5618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8A5618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00876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</w:t>
            </w:r>
            <w:r w:rsidR="009A0277">
              <w:rPr>
                <w:rFonts w:ascii="PragmaticaCTT" w:hAnsi="PragmaticaCTT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300876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300876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02" w:rsidRDefault="005F3D02">
      <w:r>
        <w:separator/>
      </w:r>
    </w:p>
  </w:endnote>
  <w:endnote w:type="continuationSeparator" w:id="0">
    <w:p w:rsidR="005F3D02" w:rsidRDefault="005F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02" w:rsidRDefault="005F3D02">
      <w:r>
        <w:separator/>
      </w:r>
    </w:p>
  </w:footnote>
  <w:footnote w:type="continuationSeparator" w:id="0">
    <w:p w:rsidR="005F3D02" w:rsidRDefault="005F3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34694"/>
    <w:rsid w:val="00066E91"/>
    <w:rsid w:val="000A1815"/>
    <w:rsid w:val="000B14AB"/>
    <w:rsid w:val="000B1500"/>
    <w:rsid w:val="000B651C"/>
    <w:rsid w:val="000B6E9D"/>
    <w:rsid w:val="000C7456"/>
    <w:rsid w:val="000D42F3"/>
    <w:rsid w:val="001361EC"/>
    <w:rsid w:val="00137125"/>
    <w:rsid w:val="0014291E"/>
    <w:rsid w:val="00192837"/>
    <w:rsid w:val="001B27B5"/>
    <w:rsid w:val="001B3C77"/>
    <w:rsid w:val="001B469A"/>
    <w:rsid w:val="001D742C"/>
    <w:rsid w:val="001E091B"/>
    <w:rsid w:val="001E3380"/>
    <w:rsid w:val="001F093D"/>
    <w:rsid w:val="00232BD1"/>
    <w:rsid w:val="002A6477"/>
    <w:rsid w:val="002A76EC"/>
    <w:rsid w:val="002C49EA"/>
    <w:rsid w:val="002F0CC6"/>
    <w:rsid w:val="00300876"/>
    <w:rsid w:val="003035A5"/>
    <w:rsid w:val="003039AC"/>
    <w:rsid w:val="00350F64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F522C"/>
    <w:rsid w:val="0041369A"/>
    <w:rsid w:val="00420F7F"/>
    <w:rsid w:val="00430327"/>
    <w:rsid w:val="00444C56"/>
    <w:rsid w:val="004459C5"/>
    <w:rsid w:val="00452DDB"/>
    <w:rsid w:val="00461DD6"/>
    <w:rsid w:val="00477DA4"/>
    <w:rsid w:val="004876BF"/>
    <w:rsid w:val="00493400"/>
    <w:rsid w:val="00497155"/>
    <w:rsid w:val="004B3A77"/>
    <w:rsid w:val="004B453B"/>
    <w:rsid w:val="004E7CCD"/>
    <w:rsid w:val="00524BAE"/>
    <w:rsid w:val="00546371"/>
    <w:rsid w:val="00562F72"/>
    <w:rsid w:val="0058254F"/>
    <w:rsid w:val="0059563D"/>
    <w:rsid w:val="005A1C56"/>
    <w:rsid w:val="005A7703"/>
    <w:rsid w:val="005D2FCC"/>
    <w:rsid w:val="005D4F95"/>
    <w:rsid w:val="005E00E7"/>
    <w:rsid w:val="005E5DBE"/>
    <w:rsid w:val="005F3D02"/>
    <w:rsid w:val="00601BF9"/>
    <w:rsid w:val="00615749"/>
    <w:rsid w:val="00622332"/>
    <w:rsid w:val="00665B77"/>
    <w:rsid w:val="00675040"/>
    <w:rsid w:val="006838D8"/>
    <w:rsid w:val="00747E5A"/>
    <w:rsid w:val="00783F5A"/>
    <w:rsid w:val="0078720B"/>
    <w:rsid w:val="00794632"/>
    <w:rsid w:val="007B4E81"/>
    <w:rsid w:val="007C0F5A"/>
    <w:rsid w:val="007D2B7D"/>
    <w:rsid w:val="008074E1"/>
    <w:rsid w:val="00812856"/>
    <w:rsid w:val="00826146"/>
    <w:rsid w:val="008279C2"/>
    <w:rsid w:val="008A5618"/>
    <w:rsid w:val="008B5FB4"/>
    <w:rsid w:val="008C73C9"/>
    <w:rsid w:val="00932B76"/>
    <w:rsid w:val="00955BB2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71A3C"/>
    <w:rsid w:val="00AD506E"/>
    <w:rsid w:val="00AD52C8"/>
    <w:rsid w:val="00B041EA"/>
    <w:rsid w:val="00B6664D"/>
    <w:rsid w:val="00B71DE0"/>
    <w:rsid w:val="00B732E4"/>
    <w:rsid w:val="00B7492B"/>
    <w:rsid w:val="00B83D74"/>
    <w:rsid w:val="00BA0149"/>
    <w:rsid w:val="00BA2727"/>
    <w:rsid w:val="00BD21EA"/>
    <w:rsid w:val="00BE4792"/>
    <w:rsid w:val="00C462BF"/>
    <w:rsid w:val="00C55687"/>
    <w:rsid w:val="00C55821"/>
    <w:rsid w:val="00C55937"/>
    <w:rsid w:val="00C70A7A"/>
    <w:rsid w:val="00C82324"/>
    <w:rsid w:val="00CE64D4"/>
    <w:rsid w:val="00CF2566"/>
    <w:rsid w:val="00D06ADA"/>
    <w:rsid w:val="00D20980"/>
    <w:rsid w:val="00D42645"/>
    <w:rsid w:val="00DB32C8"/>
    <w:rsid w:val="00DC2836"/>
    <w:rsid w:val="00DF1F0D"/>
    <w:rsid w:val="00E071AA"/>
    <w:rsid w:val="00E13D34"/>
    <w:rsid w:val="00E65B28"/>
    <w:rsid w:val="00E92ABA"/>
    <w:rsid w:val="00EB5842"/>
    <w:rsid w:val="00EB67E4"/>
    <w:rsid w:val="00EE30B4"/>
    <w:rsid w:val="00EE3C24"/>
    <w:rsid w:val="00EE4631"/>
    <w:rsid w:val="00F01F22"/>
    <w:rsid w:val="00F21BAB"/>
    <w:rsid w:val="00F3767F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 Знак1"/>
    <w:basedOn w:val="a0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750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3</cp:revision>
  <cp:lastPrinted>2011-06-20T11:02:00Z</cp:lastPrinted>
  <dcterms:created xsi:type="dcterms:W3CDTF">2012-11-28T13:12:00Z</dcterms:created>
  <dcterms:modified xsi:type="dcterms:W3CDTF">2012-11-29T08:53:00Z</dcterms:modified>
</cp:coreProperties>
</file>